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C51" w:rsidRPr="00DC6C51" w:rsidRDefault="00DC6C51" w:rsidP="00DC6C51">
      <w:pPr>
        <w:spacing w:after="270" w:line="240" w:lineRule="auto"/>
        <w:textAlignment w:val="baseline"/>
        <w:outlineLvl w:val="0"/>
        <w:rPr>
          <w:rFonts w:ascii="Arial" w:eastAsia="Times New Roman" w:hAnsi="Arial" w:cs="Arial"/>
          <w:b/>
          <w:bCs/>
          <w:color w:val="1D4B80"/>
          <w:kern w:val="36"/>
          <w:sz w:val="27"/>
          <w:szCs w:val="27"/>
        </w:rPr>
      </w:pPr>
      <w:r w:rsidRPr="00DC6C51">
        <w:rPr>
          <w:rFonts w:ascii="Arial" w:eastAsia="Times New Roman" w:hAnsi="Arial" w:cs="Arial"/>
          <w:b/>
          <w:bCs/>
          <w:color w:val="1D4B80"/>
          <w:kern w:val="36"/>
          <w:sz w:val="27"/>
          <w:szCs w:val="27"/>
        </w:rPr>
        <w:t>Civic Participation</w:t>
      </w:r>
    </w:p>
    <w:p w:rsidR="00DC6C51" w:rsidRPr="00DC6C51" w:rsidRDefault="00DC6C51" w:rsidP="00DC6C51">
      <w:pPr>
        <w:spacing w:after="0" w:line="360" w:lineRule="atLeast"/>
        <w:textAlignment w:val="baseline"/>
        <w:rPr>
          <w:rFonts w:ascii="Arial" w:eastAsia="Times New Roman" w:hAnsi="Arial" w:cs="Arial"/>
          <w:b/>
          <w:bCs/>
          <w:color w:val="000000"/>
          <w:sz w:val="21"/>
          <w:szCs w:val="21"/>
        </w:rPr>
      </w:pPr>
      <w:r w:rsidRPr="00DC6C51">
        <w:rPr>
          <w:rFonts w:ascii="Arial" w:eastAsia="Times New Roman" w:hAnsi="Arial" w:cs="Arial"/>
          <w:b/>
          <w:bCs/>
          <w:color w:val="000000"/>
          <w:sz w:val="21"/>
          <w:szCs w:val="21"/>
        </w:rPr>
        <w:t>The Healthy People 2020 </w:t>
      </w:r>
      <w:hyperlink r:id="rId5" w:history="1">
        <w:r w:rsidRPr="00DC6C51">
          <w:rPr>
            <w:rFonts w:ascii="Arial" w:eastAsia="Times New Roman" w:hAnsi="Arial" w:cs="Arial"/>
            <w:b/>
            <w:bCs/>
            <w:color w:val="006C9F"/>
            <w:sz w:val="21"/>
            <w:szCs w:val="21"/>
            <w:u w:val="single"/>
            <w:bdr w:val="none" w:sz="0" w:space="0" w:color="auto" w:frame="1"/>
          </w:rPr>
          <w:t>Social Determinants of Health topic area</w:t>
        </w:r>
      </w:hyperlink>
      <w:r w:rsidRPr="00DC6C51">
        <w:rPr>
          <w:rFonts w:ascii="Arial" w:eastAsia="Times New Roman" w:hAnsi="Arial" w:cs="Arial"/>
          <w:b/>
          <w:bCs/>
          <w:color w:val="000000"/>
          <w:sz w:val="21"/>
          <w:szCs w:val="21"/>
        </w:rPr>
        <w:t> is organized into 5 place-based domains:</w:t>
      </w:r>
    </w:p>
    <w:p w:rsidR="00DC6C51" w:rsidRPr="00DC6C51" w:rsidRDefault="00DC6C51" w:rsidP="00DC6C51">
      <w:pPr>
        <w:numPr>
          <w:ilvl w:val="0"/>
          <w:numId w:val="1"/>
        </w:numPr>
        <w:spacing w:after="0" w:line="300" w:lineRule="atLeast"/>
        <w:ind w:left="885"/>
        <w:textAlignment w:val="baseline"/>
        <w:rPr>
          <w:rFonts w:ascii="Arial" w:eastAsia="Times New Roman" w:hAnsi="Arial" w:cs="Arial"/>
          <w:b/>
          <w:bCs/>
          <w:color w:val="000000"/>
          <w:sz w:val="21"/>
          <w:szCs w:val="21"/>
        </w:rPr>
      </w:pPr>
      <w:r w:rsidRPr="00DC6C51">
        <w:rPr>
          <w:rFonts w:ascii="Arial" w:eastAsia="Times New Roman" w:hAnsi="Arial" w:cs="Arial"/>
          <w:b/>
          <w:bCs/>
          <w:color w:val="000000"/>
          <w:sz w:val="21"/>
          <w:szCs w:val="21"/>
        </w:rPr>
        <w:t>Economic Stability</w:t>
      </w:r>
    </w:p>
    <w:p w:rsidR="00DC6C51" w:rsidRPr="00DC6C51" w:rsidRDefault="00DC6C51" w:rsidP="00DC6C51">
      <w:pPr>
        <w:numPr>
          <w:ilvl w:val="0"/>
          <w:numId w:val="1"/>
        </w:numPr>
        <w:spacing w:after="0" w:line="300" w:lineRule="atLeast"/>
        <w:ind w:left="885"/>
        <w:textAlignment w:val="baseline"/>
        <w:rPr>
          <w:rFonts w:ascii="Arial" w:eastAsia="Times New Roman" w:hAnsi="Arial" w:cs="Arial"/>
          <w:b/>
          <w:bCs/>
          <w:color w:val="000000"/>
          <w:sz w:val="21"/>
          <w:szCs w:val="21"/>
        </w:rPr>
      </w:pPr>
      <w:r w:rsidRPr="00DC6C51">
        <w:rPr>
          <w:rFonts w:ascii="Arial" w:eastAsia="Times New Roman" w:hAnsi="Arial" w:cs="Arial"/>
          <w:b/>
          <w:bCs/>
          <w:color w:val="000000"/>
          <w:sz w:val="21"/>
          <w:szCs w:val="21"/>
        </w:rPr>
        <w:t>Education</w:t>
      </w:r>
    </w:p>
    <w:p w:rsidR="00DC6C51" w:rsidRPr="00DC6C51" w:rsidRDefault="00DC6C51" w:rsidP="00DC6C51">
      <w:pPr>
        <w:numPr>
          <w:ilvl w:val="0"/>
          <w:numId w:val="1"/>
        </w:numPr>
        <w:spacing w:after="0" w:line="300" w:lineRule="atLeast"/>
        <w:ind w:left="885"/>
        <w:textAlignment w:val="baseline"/>
        <w:rPr>
          <w:rFonts w:ascii="Arial" w:eastAsia="Times New Roman" w:hAnsi="Arial" w:cs="Arial"/>
          <w:b/>
          <w:bCs/>
          <w:color w:val="000000"/>
          <w:sz w:val="21"/>
          <w:szCs w:val="21"/>
        </w:rPr>
      </w:pPr>
      <w:r w:rsidRPr="00DC6C51">
        <w:rPr>
          <w:rFonts w:ascii="Arial" w:eastAsia="Times New Roman" w:hAnsi="Arial" w:cs="Arial"/>
          <w:b/>
          <w:bCs/>
          <w:color w:val="000000"/>
          <w:sz w:val="21"/>
          <w:szCs w:val="21"/>
        </w:rPr>
        <w:t>Health and Health Care</w:t>
      </w:r>
    </w:p>
    <w:p w:rsidR="00DC6C51" w:rsidRPr="00DC6C51" w:rsidRDefault="00DC6C51" w:rsidP="00DC6C51">
      <w:pPr>
        <w:numPr>
          <w:ilvl w:val="0"/>
          <w:numId w:val="1"/>
        </w:numPr>
        <w:spacing w:after="0" w:line="300" w:lineRule="atLeast"/>
        <w:ind w:left="885"/>
        <w:textAlignment w:val="baseline"/>
        <w:rPr>
          <w:rFonts w:ascii="Arial" w:eastAsia="Times New Roman" w:hAnsi="Arial" w:cs="Arial"/>
          <w:b/>
          <w:bCs/>
          <w:color w:val="000000"/>
          <w:sz w:val="21"/>
          <w:szCs w:val="21"/>
        </w:rPr>
      </w:pPr>
      <w:r w:rsidRPr="00DC6C51">
        <w:rPr>
          <w:rFonts w:ascii="Arial" w:eastAsia="Times New Roman" w:hAnsi="Arial" w:cs="Arial"/>
          <w:b/>
          <w:bCs/>
          <w:color w:val="000000"/>
          <w:sz w:val="21"/>
          <w:szCs w:val="21"/>
        </w:rPr>
        <w:t>Neighborhood and Built Environment</w:t>
      </w:r>
    </w:p>
    <w:p w:rsidR="00DC6C51" w:rsidRPr="00DC6C51" w:rsidRDefault="00DC6C51" w:rsidP="00DC6C51">
      <w:pPr>
        <w:numPr>
          <w:ilvl w:val="0"/>
          <w:numId w:val="1"/>
        </w:numPr>
        <w:spacing w:after="0" w:line="300" w:lineRule="atLeast"/>
        <w:ind w:left="885"/>
        <w:textAlignment w:val="baseline"/>
        <w:rPr>
          <w:rFonts w:ascii="Arial" w:eastAsia="Times New Roman" w:hAnsi="Arial" w:cs="Arial"/>
          <w:b/>
          <w:bCs/>
          <w:color w:val="000000"/>
          <w:sz w:val="21"/>
          <w:szCs w:val="21"/>
        </w:rPr>
      </w:pPr>
      <w:r w:rsidRPr="00DC6C51">
        <w:rPr>
          <w:rFonts w:ascii="Arial" w:eastAsia="Times New Roman" w:hAnsi="Arial" w:cs="Arial"/>
          <w:b/>
          <w:bCs/>
          <w:color w:val="000000"/>
          <w:sz w:val="21"/>
          <w:szCs w:val="21"/>
        </w:rPr>
        <w:t>Social and Community Context</w:t>
      </w:r>
    </w:p>
    <w:p w:rsidR="00DC6C51" w:rsidRPr="00DC6C51" w:rsidRDefault="00DC6C51" w:rsidP="00DC6C51">
      <w:pPr>
        <w:spacing w:line="360" w:lineRule="atLeast"/>
        <w:textAlignment w:val="baseline"/>
        <w:rPr>
          <w:rFonts w:ascii="Arial" w:eastAsia="Times New Roman" w:hAnsi="Arial" w:cs="Arial"/>
          <w:b/>
          <w:bCs/>
          <w:color w:val="000000"/>
          <w:sz w:val="21"/>
          <w:szCs w:val="21"/>
        </w:rPr>
      </w:pPr>
      <w:r w:rsidRPr="00DC6C51">
        <w:rPr>
          <w:rFonts w:ascii="Arial" w:eastAsia="Times New Roman" w:hAnsi="Arial" w:cs="Arial"/>
          <w:b/>
          <w:bCs/>
          <w:color w:val="000000"/>
          <w:sz w:val="21"/>
          <w:szCs w:val="21"/>
        </w:rPr>
        <w:t>Civic Participation is a key issue in the Social and Community Context domain.</w:t>
      </w:r>
    </w:p>
    <w:p w:rsidR="00DC6C51" w:rsidRPr="00DC6C51" w:rsidRDefault="00DC6C51" w:rsidP="00DC6C51">
      <w:pPr>
        <w:spacing w:after="0" w:line="360" w:lineRule="atLeast"/>
        <w:textAlignment w:val="baseline"/>
        <w:rPr>
          <w:rFonts w:ascii="Arial" w:eastAsia="Times New Roman" w:hAnsi="Arial" w:cs="Arial"/>
          <w:color w:val="000000"/>
          <w:sz w:val="21"/>
          <w:szCs w:val="21"/>
        </w:rPr>
      </w:pPr>
      <w:r w:rsidRPr="00DC6C51">
        <w:rPr>
          <w:rFonts w:ascii="Arial" w:eastAsia="Times New Roman" w:hAnsi="Arial" w:cs="Arial"/>
          <w:color w:val="000000"/>
          <w:sz w:val="21"/>
          <w:szCs w:val="21"/>
        </w:rPr>
        <w:t xml:space="preserve">Civic participation encompasses a wide range of formal and informal activities. Examples include voting, volunteering, participating in group activities, and community gardening. Some are individual activities that benefit society (e.g., voting) or group activities that benefit either the group members (e.g., recreational soccer teams) or society </w:t>
      </w:r>
      <w:r>
        <w:rPr>
          <w:rFonts w:ascii="Arial" w:eastAsia="Times New Roman" w:hAnsi="Arial" w:cs="Arial"/>
          <w:color w:val="000000"/>
          <w:sz w:val="21"/>
          <w:szCs w:val="21"/>
        </w:rPr>
        <w:t xml:space="preserve">(e.g., volunteer organizations). </w:t>
      </w:r>
      <w:r w:rsidRPr="00DC6C51">
        <w:rPr>
          <w:rFonts w:ascii="Arial" w:eastAsia="Times New Roman" w:hAnsi="Arial" w:cs="Arial"/>
          <w:color w:val="000000"/>
          <w:sz w:val="21"/>
          <w:szCs w:val="21"/>
        </w:rPr>
        <w:t>In addition to the direct benefit that civic participation provides to the community, it also produces secondary health benefits for participants. This summary focuses on the relationship between civic participation, health, and well-being.</w:t>
      </w:r>
    </w:p>
    <w:p w:rsidR="00DC6C51" w:rsidRDefault="00DC6C51" w:rsidP="00DC6C51">
      <w:pPr>
        <w:spacing w:after="0" w:line="360" w:lineRule="atLeast"/>
        <w:textAlignment w:val="baseline"/>
        <w:rPr>
          <w:rFonts w:ascii="Arial" w:eastAsia="Times New Roman" w:hAnsi="Arial" w:cs="Arial"/>
          <w:color w:val="000000"/>
          <w:sz w:val="21"/>
          <w:szCs w:val="21"/>
        </w:rPr>
      </w:pPr>
    </w:p>
    <w:p w:rsidR="00DC6C51" w:rsidRDefault="00DC6C51" w:rsidP="00DC6C51">
      <w:pPr>
        <w:spacing w:after="0" w:line="360" w:lineRule="atLeast"/>
        <w:textAlignment w:val="baseline"/>
        <w:rPr>
          <w:rFonts w:ascii="Arial" w:eastAsia="Times New Roman" w:hAnsi="Arial" w:cs="Arial"/>
          <w:color w:val="000000"/>
          <w:sz w:val="21"/>
          <w:szCs w:val="21"/>
        </w:rPr>
      </w:pPr>
      <w:r w:rsidRPr="00DC6C51">
        <w:rPr>
          <w:rFonts w:ascii="Arial" w:eastAsia="Times New Roman" w:hAnsi="Arial" w:cs="Arial"/>
          <w:color w:val="000000"/>
          <w:sz w:val="21"/>
          <w:szCs w:val="21"/>
        </w:rPr>
        <w:t>One way civic participation improves health is by building social capital, which is defined as “features of social organization such as networks, norms, and social trust that facilitate coordination and cooperation for mutual benefit”</w:t>
      </w:r>
      <w:r>
        <w:rPr>
          <w:rFonts w:ascii="Arial" w:eastAsia="Times New Roman" w:hAnsi="Arial" w:cs="Arial"/>
          <w:color w:val="000000"/>
          <w:sz w:val="21"/>
          <w:szCs w:val="21"/>
        </w:rPr>
        <w:t xml:space="preserve"> (Putman).</w:t>
      </w:r>
      <w:bookmarkStart w:id="0" w:name="_GoBack"/>
      <w:bookmarkEnd w:id="0"/>
      <w:r>
        <w:rPr>
          <w:rFonts w:ascii="Arial" w:eastAsia="Times New Roman" w:hAnsi="Arial" w:cs="Arial"/>
          <w:color w:val="000000"/>
          <w:sz w:val="21"/>
          <w:szCs w:val="21"/>
        </w:rPr>
        <w:t xml:space="preserve"> </w:t>
      </w:r>
      <w:r w:rsidRPr="00DC6C51">
        <w:rPr>
          <w:rFonts w:ascii="Arial" w:eastAsia="Times New Roman" w:hAnsi="Arial" w:cs="Arial"/>
          <w:color w:val="000000"/>
          <w:sz w:val="21"/>
          <w:szCs w:val="21"/>
        </w:rPr>
        <w:t>For example, a study found that members of civic groups were more likely to be physically active. Belonging to civic groups expanded participants’ social networks, which made them more aware of opportunities to be physically active</w:t>
      </w:r>
      <w:r w:rsidRPr="00DC6C51">
        <w:rPr>
          <w:rFonts w:ascii="Arial" w:eastAsia="Times New Roman" w:hAnsi="Arial" w:cs="Arial"/>
          <w:b/>
          <w:bCs/>
          <w:color w:val="000000"/>
          <w:sz w:val="21"/>
          <w:szCs w:val="21"/>
          <w:bdr w:val="none" w:sz="0" w:space="0" w:color="auto" w:frame="1"/>
        </w:rPr>
        <w:t> </w:t>
      </w:r>
      <w:r w:rsidRPr="00DC6C51">
        <w:rPr>
          <w:rFonts w:ascii="Arial" w:eastAsia="Times New Roman" w:hAnsi="Arial" w:cs="Arial"/>
          <w:color w:val="000000"/>
          <w:sz w:val="21"/>
          <w:szCs w:val="21"/>
        </w:rPr>
        <w:t>in their community. Engaging in meaningful civic activities can also help individuals develop a sense of purpose, which may promote continued civic participation. </w:t>
      </w:r>
    </w:p>
    <w:p w:rsidR="00DC6C51" w:rsidRDefault="00DC6C51" w:rsidP="00DC6C51">
      <w:pPr>
        <w:spacing w:after="0" w:line="360" w:lineRule="atLeast"/>
        <w:textAlignment w:val="baseline"/>
        <w:rPr>
          <w:rFonts w:ascii="Arial" w:eastAsia="Times New Roman" w:hAnsi="Arial" w:cs="Arial"/>
          <w:color w:val="000000"/>
          <w:sz w:val="21"/>
          <w:szCs w:val="21"/>
        </w:rPr>
      </w:pPr>
    </w:p>
    <w:p w:rsidR="00DC6C51" w:rsidRDefault="00DC6C51" w:rsidP="00DC6C51">
      <w:pPr>
        <w:spacing w:after="0" w:line="360" w:lineRule="atLeast"/>
        <w:textAlignment w:val="baseline"/>
        <w:rPr>
          <w:rFonts w:ascii="Arial" w:eastAsia="Times New Roman" w:hAnsi="Arial" w:cs="Arial"/>
          <w:color w:val="000000"/>
          <w:sz w:val="21"/>
          <w:szCs w:val="21"/>
        </w:rPr>
      </w:pPr>
      <w:r w:rsidRPr="00DC6C51">
        <w:rPr>
          <w:rFonts w:ascii="Arial" w:eastAsia="Times New Roman" w:hAnsi="Arial" w:cs="Arial"/>
          <w:color w:val="000000"/>
          <w:sz w:val="21"/>
          <w:szCs w:val="21"/>
        </w:rPr>
        <w:t>Participating in the electoral process by voting or registering others to vote is an example of civic participation that impacts health. A study of 44 countries (including the United States) found that voter participation was associated with better self-reported health, even after controlling for individual and country characteristics</w:t>
      </w:r>
      <w:r>
        <w:rPr>
          <w:rFonts w:ascii="Arial" w:eastAsia="Times New Roman" w:hAnsi="Arial" w:cs="Arial"/>
          <w:color w:val="000000"/>
          <w:sz w:val="21"/>
          <w:szCs w:val="21"/>
        </w:rPr>
        <w:t>.</w:t>
      </w:r>
      <w:r w:rsidRPr="00DC6C51">
        <w:rPr>
          <w:rFonts w:ascii="Arial" w:eastAsia="Times New Roman" w:hAnsi="Arial" w:cs="Arial"/>
          <w:color w:val="000000"/>
          <w:sz w:val="21"/>
          <w:szCs w:val="21"/>
        </w:rPr>
        <w:t> In another study, individuals who did not vote reported poorer health in subsequent years.</w:t>
      </w:r>
    </w:p>
    <w:p w:rsidR="00DC6C51" w:rsidRPr="00DC6C51" w:rsidRDefault="00DC6C51" w:rsidP="00DC6C51">
      <w:pPr>
        <w:spacing w:after="0" w:line="360" w:lineRule="atLeast"/>
        <w:textAlignment w:val="baseline"/>
        <w:rPr>
          <w:rFonts w:ascii="Arial" w:eastAsia="Times New Roman" w:hAnsi="Arial" w:cs="Arial"/>
          <w:color w:val="000000"/>
          <w:sz w:val="21"/>
          <w:szCs w:val="21"/>
        </w:rPr>
      </w:pPr>
      <w:r w:rsidRPr="00DC6C51">
        <w:rPr>
          <w:rFonts w:ascii="Arial" w:eastAsia="Times New Roman" w:hAnsi="Arial" w:cs="Arial"/>
          <w:color w:val="000000"/>
          <w:sz w:val="21"/>
          <w:szCs w:val="21"/>
        </w:rPr>
        <w:t xml:space="preserve"> Volunteering is a common form of civic participation that can yield health benefits. Studies show that volunteers enjoy better psychological well-being and more positive emotional health. Volunteering can increase social resources like having friends to call</w:t>
      </w:r>
      <w:r>
        <w:rPr>
          <w:rFonts w:ascii="Arial" w:eastAsia="Times New Roman" w:hAnsi="Arial" w:cs="Arial"/>
          <w:color w:val="000000"/>
          <w:sz w:val="21"/>
          <w:szCs w:val="21"/>
        </w:rPr>
        <w:t>,</w:t>
      </w:r>
      <w:r w:rsidRPr="00DC6C51">
        <w:rPr>
          <w:rFonts w:ascii="Arial" w:eastAsia="Times New Roman" w:hAnsi="Arial" w:cs="Arial"/>
          <w:color w:val="000000"/>
          <w:sz w:val="21"/>
          <w:szCs w:val="21"/>
        </w:rPr>
        <w:t xml:space="preserve"> which may help explain the association between volunteering and reduced levels of anxiety and depressive symptoms. Additionally, 1 study found that volunteers have fewer risk factors for cardiovascular disease. Volunteering might be </w:t>
      </w:r>
      <w:r w:rsidRPr="00DC6C51">
        <w:rPr>
          <w:rFonts w:ascii="Arial" w:eastAsia="Times New Roman" w:hAnsi="Arial" w:cs="Arial"/>
          <w:color w:val="000000"/>
          <w:sz w:val="21"/>
          <w:szCs w:val="21"/>
        </w:rPr>
        <w:lastRenderedPageBreak/>
        <w:t xml:space="preserve">especially beneficial for older adults; a study of adults age 60 and older found that volunteers had a lower risk of cognitive impairment. </w:t>
      </w:r>
    </w:p>
    <w:p w:rsidR="00DC6C51" w:rsidRPr="00DC6C51" w:rsidRDefault="00DC6C51" w:rsidP="00DC6C51">
      <w:pPr>
        <w:spacing w:after="0" w:line="360" w:lineRule="atLeast"/>
        <w:textAlignment w:val="baseline"/>
        <w:rPr>
          <w:rFonts w:ascii="Arial" w:eastAsia="Times New Roman" w:hAnsi="Arial" w:cs="Arial"/>
          <w:color w:val="000000"/>
          <w:sz w:val="21"/>
          <w:szCs w:val="21"/>
        </w:rPr>
      </w:pPr>
      <w:r w:rsidRPr="00DC6C51">
        <w:rPr>
          <w:rFonts w:ascii="Arial" w:eastAsia="Times New Roman" w:hAnsi="Arial" w:cs="Arial"/>
          <w:color w:val="000000"/>
          <w:sz w:val="21"/>
          <w:szCs w:val="21"/>
        </w:rPr>
        <w:t xml:space="preserve">Simply belonging to groups can improve health as well. Membership in formal groups (e.g., Girl Scouts, Kiwanis, Rotary, </w:t>
      </w:r>
      <w:proofErr w:type="gramStart"/>
      <w:r w:rsidRPr="00DC6C51">
        <w:rPr>
          <w:rFonts w:ascii="Arial" w:eastAsia="Times New Roman" w:hAnsi="Arial" w:cs="Arial"/>
          <w:color w:val="000000"/>
          <w:sz w:val="21"/>
          <w:szCs w:val="21"/>
        </w:rPr>
        <w:t>PTA</w:t>
      </w:r>
      <w:proofErr w:type="gramEnd"/>
      <w:r w:rsidRPr="00DC6C51">
        <w:rPr>
          <w:rFonts w:ascii="Arial" w:eastAsia="Times New Roman" w:hAnsi="Arial" w:cs="Arial"/>
          <w:color w:val="000000"/>
          <w:sz w:val="21"/>
          <w:szCs w:val="21"/>
        </w:rPr>
        <w:t>) or informal groups (e.g., book clubs, bird watching clubs) has been shown to increase social capital and decrease social isolation among members. As a result, these groups may indirectly improve the physical and mental health of their members. For example, a women’s group, the Red Hat Society, has been shown to provide emotional support and a sense of community to its members. Many formal and informal groups also engage in charitable activities that directly benefit health research (e.g., the Ice Bucket Challenge, Susan G. Komen Race for the Cure).</w:t>
      </w:r>
    </w:p>
    <w:p w:rsidR="00DC6C51" w:rsidRPr="00DC6C51" w:rsidRDefault="00DC6C51" w:rsidP="00DC6C51">
      <w:pPr>
        <w:spacing w:after="0" w:line="360" w:lineRule="atLeast"/>
        <w:textAlignment w:val="baseline"/>
        <w:rPr>
          <w:rFonts w:ascii="Arial" w:eastAsia="Times New Roman" w:hAnsi="Arial" w:cs="Arial"/>
          <w:color w:val="000000"/>
          <w:sz w:val="21"/>
          <w:szCs w:val="21"/>
        </w:rPr>
      </w:pPr>
      <w:r w:rsidRPr="00DC6C51">
        <w:rPr>
          <w:rFonts w:ascii="Arial" w:eastAsia="Times New Roman" w:hAnsi="Arial" w:cs="Arial"/>
          <w:color w:val="000000"/>
          <w:sz w:val="21"/>
          <w:szCs w:val="21"/>
        </w:rPr>
        <w:t>Individuals who are involved in community gardening may form a sense of neighborhood pride, experience an increased appreciation for their neighborhood and be more motivated to get involved in community life. Community gardens also increase access to healthy foods. The California Healthy Cities and Communities project found that West Hollywood students</w:t>
      </w:r>
      <w:r w:rsidRPr="00DC6C51">
        <w:rPr>
          <w:rFonts w:ascii="Arial" w:eastAsia="Times New Roman" w:hAnsi="Arial" w:cs="Arial"/>
          <w:b/>
          <w:bCs/>
          <w:color w:val="000000"/>
          <w:sz w:val="21"/>
          <w:szCs w:val="21"/>
          <w:bdr w:val="none" w:sz="0" w:space="0" w:color="auto" w:frame="1"/>
        </w:rPr>
        <w:t> </w:t>
      </w:r>
      <w:r w:rsidRPr="00DC6C51">
        <w:rPr>
          <w:rFonts w:ascii="Arial" w:eastAsia="Times New Roman" w:hAnsi="Arial" w:cs="Arial"/>
          <w:color w:val="000000"/>
          <w:sz w:val="21"/>
          <w:szCs w:val="21"/>
        </w:rPr>
        <w:t>with school community gardens increased their fruit and vegetable consumption by 10%.</w:t>
      </w:r>
    </w:p>
    <w:p w:rsidR="00DC6C51" w:rsidRDefault="00DC6C51" w:rsidP="00DC6C51">
      <w:pPr>
        <w:spacing w:after="0" w:line="360" w:lineRule="atLeast"/>
        <w:textAlignment w:val="baseline"/>
        <w:rPr>
          <w:rFonts w:ascii="Arial" w:eastAsia="Times New Roman" w:hAnsi="Arial" w:cs="Arial"/>
          <w:color w:val="000000"/>
          <w:sz w:val="21"/>
          <w:szCs w:val="21"/>
        </w:rPr>
      </w:pPr>
      <w:r w:rsidRPr="00DC6C51">
        <w:rPr>
          <w:rFonts w:ascii="Arial" w:eastAsia="Times New Roman" w:hAnsi="Arial" w:cs="Arial"/>
          <w:color w:val="000000"/>
          <w:sz w:val="21"/>
          <w:szCs w:val="21"/>
        </w:rPr>
        <w:t>Civic participation varies by generation and education</w:t>
      </w:r>
      <w:r>
        <w:rPr>
          <w:rFonts w:ascii="Arial" w:eastAsia="Times New Roman" w:hAnsi="Arial" w:cs="Arial"/>
          <w:color w:val="000000"/>
          <w:sz w:val="21"/>
          <w:szCs w:val="21"/>
        </w:rPr>
        <w:t>.</w:t>
      </w:r>
      <w:r w:rsidRPr="00DC6C51">
        <w:rPr>
          <w:rFonts w:ascii="Arial" w:eastAsia="Times New Roman" w:hAnsi="Arial" w:cs="Arial"/>
          <w:color w:val="000000"/>
          <w:sz w:val="21"/>
          <w:szCs w:val="21"/>
        </w:rPr>
        <w:t> Today’s young adults may be less likely to participate in civic activities because they may not have access to information on how to get involved or they may not know how they can make a difference. Individuals with higher education levels may have more opportunities for civic engagement, as college students have opportunities to get involved in community affairs through fraternities, sororities, or other student organizations—but male college students are less likely to engage in civic activities than female students. Other studies have found that African American, Latino, and Asian American college students are more likely to intend to volunteer than their white peers.</w:t>
      </w:r>
    </w:p>
    <w:p w:rsidR="00DC6C51" w:rsidRDefault="00DC6C51" w:rsidP="00DC6C51">
      <w:pPr>
        <w:spacing w:after="0" w:line="360" w:lineRule="atLeast"/>
        <w:textAlignment w:val="baseline"/>
        <w:rPr>
          <w:rFonts w:ascii="Arial" w:eastAsia="Times New Roman" w:hAnsi="Arial" w:cs="Arial"/>
          <w:color w:val="000000"/>
          <w:sz w:val="21"/>
          <w:szCs w:val="21"/>
        </w:rPr>
      </w:pPr>
    </w:p>
    <w:p w:rsidR="00DC6C51" w:rsidRPr="00DC6C51" w:rsidRDefault="00DC6C51" w:rsidP="00DC6C51">
      <w:pPr>
        <w:spacing w:after="0" w:line="360" w:lineRule="atLeast"/>
        <w:textAlignment w:val="baseline"/>
        <w:rPr>
          <w:rFonts w:ascii="Arial" w:eastAsia="Times New Roman" w:hAnsi="Arial" w:cs="Arial"/>
          <w:color w:val="000000"/>
          <w:sz w:val="21"/>
          <w:szCs w:val="21"/>
        </w:rPr>
      </w:pPr>
      <w:r w:rsidRPr="00DC6C51">
        <w:rPr>
          <w:rFonts w:ascii="Arial" w:eastAsia="Times New Roman" w:hAnsi="Arial" w:cs="Arial"/>
          <w:color w:val="000000"/>
          <w:sz w:val="21"/>
          <w:szCs w:val="21"/>
        </w:rPr>
        <w:t xml:space="preserve"> Many different strategies can promote civic participation. Encouraging young people to be active in their community is important for promoting life-long civic participation. One study found that high school students involved in community service are more likely to vote and volunteer in adulthood. Initiatives like AmeriCorps, which are designed to help young adults serve their communities, have been shown to increase civic participation later in life as well. Public health media advocacy campaigns are another strategy;—they promote policy change through media engagement and community action. Social media platforms like Facebook, Twitter, and YouTube offer a new frontier for civic participation (e.g., It Gets Better Project) and are associated with increased political participation offline as well. </w:t>
      </w:r>
    </w:p>
    <w:sectPr w:rsidR="00DC6C51" w:rsidRPr="00DC6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A3267"/>
    <w:multiLevelType w:val="multilevel"/>
    <w:tmpl w:val="C7F2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51"/>
    <w:rsid w:val="00931309"/>
    <w:rsid w:val="00DC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5399"/>
  <w15:chartTrackingRefBased/>
  <w15:docId w15:val="{FDF8E0FF-3C44-4E43-BA41-146ECC6A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6C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C5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C6C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6C51"/>
    <w:rPr>
      <w:color w:val="0000FF"/>
      <w:u w:val="single"/>
    </w:rPr>
  </w:style>
  <w:style w:type="character" w:styleId="Strong">
    <w:name w:val="Strong"/>
    <w:basedOn w:val="DefaultParagraphFont"/>
    <w:uiPriority w:val="22"/>
    <w:qFormat/>
    <w:rsid w:val="00DC6C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21344">
      <w:bodyDiv w:val="1"/>
      <w:marLeft w:val="0"/>
      <w:marRight w:val="0"/>
      <w:marTop w:val="0"/>
      <w:marBottom w:val="0"/>
      <w:divBdr>
        <w:top w:val="none" w:sz="0" w:space="0" w:color="auto"/>
        <w:left w:val="none" w:sz="0" w:space="0" w:color="auto"/>
        <w:bottom w:val="none" w:sz="0" w:space="0" w:color="auto"/>
        <w:right w:val="none" w:sz="0" w:space="0" w:color="auto"/>
      </w:divBdr>
      <w:divsChild>
        <w:div w:id="1873879122">
          <w:marLeft w:val="0"/>
          <w:marRight w:val="0"/>
          <w:marTop w:val="0"/>
          <w:marBottom w:val="0"/>
          <w:divBdr>
            <w:top w:val="none" w:sz="0" w:space="0" w:color="auto"/>
            <w:left w:val="none" w:sz="0" w:space="0" w:color="auto"/>
            <w:bottom w:val="none" w:sz="0" w:space="0" w:color="auto"/>
            <w:right w:val="none" w:sz="0" w:space="0" w:color="auto"/>
          </w:divBdr>
          <w:divsChild>
            <w:div w:id="1493179947">
              <w:marLeft w:val="0"/>
              <w:marRight w:val="0"/>
              <w:marTop w:val="0"/>
              <w:marBottom w:val="0"/>
              <w:divBdr>
                <w:top w:val="none" w:sz="0" w:space="0" w:color="auto"/>
                <w:left w:val="none" w:sz="0" w:space="0" w:color="auto"/>
                <w:bottom w:val="none" w:sz="0" w:space="0" w:color="auto"/>
                <w:right w:val="none" w:sz="0" w:space="0" w:color="auto"/>
              </w:divBdr>
            </w:div>
          </w:divsChild>
        </w:div>
        <w:div w:id="1568111203">
          <w:marLeft w:val="0"/>
          <w:marRight w:val="0"/>
          <w:marTop w:val="0"/>
          <w:marBottom w:val="0"/>
          <w:divBdr>
            <w:top w:val="none" w:sz="0" w:space="0" w:color="auto"/>
            <w:left w:val="none" w:sz="0" w:space="0" w:color="auto"/>
            <w:bottom w:val="none" w:sz="0" w:space="0" w:color="auto"/>
            <w:right w:val="none" w:sz="0" w:space="0" w:color="auto"/>
          </w:divBdr>
          <w:divsChild>
            <w:div w:id="1553613728">
              <w:marLeft w:val="0"/>
              <w:marRight w:val="0"/>
              <w:marTop w:val="0"/>
              <w:marBottom w:val="0"/>
              <w:divBdr>
                <w:top w:val="none" w:sz="0" w:space="0" w:color="auto"/>
                <w:left w:val="none" w:sz="0" w:space="0" w:color="auto"/>
                <w:bottom w:val="none" w:sz="0" w:space="0" w:color="auto"/>
                <w:right w:val="none" w:sz="0" w:space="0" w:color="auto"/>
              </w:divBdr>
              <w:divsChild>
                <w:div w:id="1706130370">
                  <w:marLeft w:val="0"/>
                  <w:marRight w:val="0"/>
                  <w:marTop w:val="0"/>
                  <w:marBottom w:val="0"/>
                  <w:divBdr>
                    <w:top w:val="none" w:sz="0" w:space="0" w:color="auto"/>
                    <w:left w:val="none" w:sz="0" w:space="0" w:color="auto"/>
                    <w:bottom w:val="none" w:sz="0" w:space="0" w:color="auto"/>
                    <w:right w:val="none" w:sz="0" w:space="0" w:color="auto"/>
                  </w:divBdr>
                  <w:divsChild>
                    <w:div w:id="1458065957">
                      <w:marLeft w:val="0"/>
                      <w:marRight w:val="0"/>
                      <w:marTop w:val="0"/>
                      <w:marBottom w:val="0"/>
                      <w:divBdr>
                        <w:top w:val="none" w:sz="0" w:space="0" w:color="auto"/>
                        <w:left w:val="none" w:sz="0" w:space="0" w:color="auto"/>
                        <w:bottom w:val="none" w:sz="0" w:space="0" w:color="auto"/>
                        <w:right w:val="none" w:sz="0" w:space="0" w:color="auto"/>
                      </w:divBdr>
                      <w:divsChild>
                        <w:div w:id="393359656">
                          <w:marLeft w:val="0"/>
                          <w:marRight w:val="0"/>
                          <w:marTop w:val="0"/>
                          <w:marBottom w:val="0"/>
                          <w:divBdr>
                            <w:top w:val="none" w:sz="0" w:space="0" w:color="auto"/>
                            <w:left w:val="none" w:sz="0" w:space="0" w:color="auto"/>
                            <w:bottom w:val="none" w:sz="0" w:space="0" w:color="auto"/>
                            <w:right w:val="none" w:sz="0" w:space="0" w:color="auto"/>
                          </w:divBdr>
                          <w:divsChild>
                            <w:div w:id="24061481">
                              <w:marLeft w:val="0"/>
                              <w:marRight w:val="0"/>
                              <w:marTop w:val="0"/>
                              <w:marBottom w:val="0"/>
                              <w:divBdr>
                                <w:top w:val="none" w:sz="0" w:space="0" w:color="auto"/>
                                <w:left w:val="none" w:sz="0" w:space="0" w:color="auto"/>
                                <w:bottom w:val="none" w:sz="0" w:space="0" w:color="auto"/>
                                <w:right w:val="none" w:sz="0" w:space="0" w:color="auto"/>
                              </w:divBdr>
                              <w:divsChild>
                                <w:div w:id="2050451260">
                                  <w:marLeft w:val="0"/>
                                  <w:marRight w:val="0"/>
                                  <w:marTop w:val="0"/>
                                  <w:marBottom w:val="0"/>
                                  <w:divBdr>
                                    <w:top w:val="none" w:sz="0" w:space="0" w:color="auto"/>
                                    <w:left w:val="none" w:sz="0" w:space="0" w:color="auto"/>
                                    <w:bottom w:val="none" w:sz="0" w:space="0" w:color="auto"/>
                                    <w:right w:val="none" w:sz="0" w:space="0" w:color="auto"/>
                                  </w:divBdr>
                                  <w:divsChild>
                                    <w:div w:id="1908412567">
                                      <w:marLeft w:val="0"/>
                                      <w:marRight w:val="0"/>
                                      <w:marTop w:val="0"/>
                                      <w:marBottom w:val="480"/>
                                      <w:divBdr>
                                        <w:top w:val="single" w:sz="6" w:space="18" w:color="D9DCE6"/>
                                        <w:left w:val="single" w:sz="6" w:space="12" w:color="D9DCE6"/>
                                        <w:bottom w:val="single" w:sz="6" w:space="18" w:color="D9DCE6"/>
                                        <w:right w:val="single" w:sz="6" w:space="12" w:color="D9DCE6"/>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ypeople.gov/2020/topics-objectives/topic/social-determinants-of-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2021-06-09T16:03:00Z</dcterms:created>
  <dcterms:modified xsi:type="dcterms:W3CDTF">2021-06-09T16:21:00Z</dcterms:modified>
</cp:coreProperties>
</file>